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F6" w:rsidRPr="008F5DB7" w:rsidRDefault="001B6128" w:rsidP="00C20EB0">
      <w:pPr>
        <w:tabs>
          <w:tab w:val="left" w:pos="5387"/>
        </w:tabs>
        <w:spacing w:before="142" w:after="10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:rsidR="00F616F6" w:rsidRPr="008F5DB7" w:rsidRDefault="001B6128" w:rsidP="00C20EB0">
      <w:pPr>
        <w:tabs>
          <w:tab w:val="left" w:pos="5387"/>
        </w:tabs>
        <w:spacing w:after="10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ab/>
        <w:t>Vilniaus savivaldybės Grigiškių gimnazijos</w:t>
      </w:r>
    </w:p>
    <w:p w:rsidR="00F616F6" w:rsidRPr="008F5DB7" w:rsidRDefault="00C20EB0" w:rsidP="00C20EB0">
      <w:pPr>
        <w:tabs>
          <w:tab w:val="left" w:pos="5387"/>
        </w:tabs>
        <w:spacing w:after="10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>direktoriaus 202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1 m. gruodžio 31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:rsidR="00F616F6" w:rsidRPr="008F5DB7" w:rsidRDefault="00C20EB0" w:rsidP="00C20EB0">
      <w:pPr>
        <w:tabs>
          <w:tab w:val="left" w:pos="5387"/>
        </w:tabs>
        <w:spacing w:after="183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>įsakymu Nr. V-</w:t>
      </w:r>
      <w:r w:rsidR="0088028A">
        <w:rPr>
          <w:rFonts w:ascii="Times New Roman" w:hAnsi="Times New Roman" w:cs="Times New Roman"/>
          <w:sz w:val="24"/>
          <w:szCs w:val="24"/>
          <w:lang w:val="lt-LT"/>
        </w:rPr>
        <w:t>330</w:t>
      </w:r>
      <w:bookmarkStart w:id="0" w:name="_GoBack"/>
      <w:bookmarkEnd w:id="0"/>
    </w:p>
    <w:p w:rsidR="00F616F6" w:rsidRPr="008F5DB7" w:rsidRDefault="00F616F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F616F6" w:rsidRPr="008F5DB7" w:rsidRDefault="00C20EB0" w:rsidP="00C20EB0">
      <w:pPr>
        <w:spacing w:after="1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b/>
          <w:sz w:val="24"/>
          <w:szCs w:val="24"/>
          <w:lang w:val="lt-LT"/>
        </w:rPr>
        <w:t>VILNIAUS SAVIVALDYBĖS GRIGIŠKIŲ GIMNAZIJOS</w:t>
      </w:r>
      <w:r w:rsidR="00606EDB" w:rsidRPr="008F5D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KORUPCIJOS</w:t>
      </w:r>
    </w:p>
    <w:p w:rsidR="00F616F6" w:rsidRPr="008F5DB7" w:rsidRDefault="00606EDB" w:rsidP="00C20EB0">
      <w:pPr>
        <w:spacing w:after="1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b/>
          <w:sz w:val="24"/>
          <w:szCs w:val="24"/>
          <w:lang w:val="lt-LT"/>
        </w:rPr>
        <w:t>PREVENCIJOS PROGRAMA 2022–2024 METAMS IR PROGRAMOS ĮGYVENDINIMO</w:t>
      </w:r>
    </w:p>
    <w:p w:rsidR="00F616F6" w:rsidRPr="008F5DB7" w:rsidRDefault="00606EDB" w:rsidP="00C20EB0">
      <w:pPr>
        <w:spacing w:after="85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b/>
          <w:sz w:val="24"/>
          <w:szCs w:val="24"/>
          <w:lang w:val="lt-LT"/>
        </w:rPr>
        <w:t>PRIEMONIŲ PLANAS</w:t>
      </w:r>
    </w:p>
    <w:p w:rsidR="00F616F6" w:rsidRPr="008F5DB7" w:rsidRDefault="00F616F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F616F6" w:rsidRPr="008F5DB7" w:rsidRDefault="00606EDB">
      <w:pPr>
        <w:spacing w:after="1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b/>
          <w:sz w:val="24"/>
          <w:szCs w:val="24"/>
          <w:lang w:val="lt-LT"/>
        </w:rPr>
        <w:t>I SKYRIUS</w:t>
      </w:r>
    </w:p>
    <w:p w:rsidR="00F616F6" w:rsidRPr="008F5DB7" w:rsidRDefault="00606EDB">
      <w:pPr>
        <w:spacing w:after="15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b/>
          <w:sz w:val="24"/>
          <w:szCs w:val="24"/>
          <w:lang w:val="lt-LT"/>
        </w:rPr>
        <w:t>BENDROSIOS PROGRAMOS NUOSTATOS</w:t>
      </w:r>
    </w:p>
    <w:p w:rsidR="00F616F6" w:rsidRPr="008F5DB7" w:rsidRDefault="00F616F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F616F6" w:rsidRPr="008F5DB7" w:rsidRDefault="00606EDB" w:rsidP="00C20EB0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C20EB0" w:rsidRPr="008F5DB7">
        <w:rPr>
          <w:rFonts w:ascii="Times New Roman" w:hAnsi="Times New Roman" w:cs="Times New Roman"/>
          <w:sz w:val="24"/>
          <w:szCs w:val="24"/>
          <w:lang w:val="lt-LT"/>
        </w:rPr>
        <w:t>Vilniaus savivaldybės Grigiškių gimnazijos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 2022–2024 metų korupcijos prevencijos programa (toliau – Programa) skirta užtikrinti korupcijos prevenciją, siekiant sumažinti korupcijos pasireiškimo galimybes, šalinti prielaidas korupcijai atsirasti ir plisti </w:t>
      </w:r>
      <w:r w:rsidR="00C20EB0" w:rsidRPr="008F5DB7">
        <w:rPr>
          <w:rFonts w:ascii="Times New Roman" w:hAnsi="Times New Roman" w:cs="Times New Roman"/>
          <w:sz w:val="24"/>
          <w:szCs w:val="24"/>
          <w:lang w:val="lt-LT"/>
        </w:rPr>
        <w:t>gimnazijoje.</w:t>
      </w:r>
    </w:p>
    <w:p w:rsidR="00F616F6" w:rsidRPr="008F5DB7" w:rsidRDefault="00606EDB" w:rsidP="00C20EB0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2. Pagrindinės programoje vartojamos sąvokos:</w:t>
      </w:r>
    </w:p>
    <w:p w:rsidR="00F616F6" w:rsidRPr="008F5DB7" w:rsidRDefault="00606EDB" w:rsidP="00C20EB0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2.1. korupcija – bet koks asmenų, dirbančių </w:t>
      </w:r>
      <w:r w:rsidR="00C20EB0" w:rsidRPr="008F5DB7">
        <w:rPr>
          <w:rFonts w:ascii="Times New Roman" w:hAnsi="Times New Roman" w:cs="Times New Roman"/>
          <w:sz w:val="24"/>
          <w:szCs w:val="24"/>
          <w:lang w:val="lt-LT"/>
        </w:rPr>
        <w:t>gimnazijoje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 elgesys, neatitinkantis jiems suteiktų įgaliojimų ar teisės aktuose numatytų elgesio standartų, ar tokio elgesio skatinimas, siekiant naudos sau ar kitiems asmenims ir taip pakenkiant piliečių ir valstybės interesams;</w:t>
      </w:r>
    </w:p>
    <w:p w:rsidR="00F616F6" w:rsidRPr="008F5DB7" w:rsidRDefault="00606EDB" w:rsidP="00C20EB0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2.2. korupcijos prevencija – korupcijos priežasčių, sąlygų atskleidimas ir šalinimas sudarant ir įgyvendinant tam tikrų priemonių sistemą, taip pat poveikis asmenims siekiant atgrasinti nuo korupcinio pobūdžio nusikalstamų veikų darymo. </w:t>
      </w:r>
    </w:p>
    <w:p w:rsidR="00F616F6" w:rsidRPr="008F5DB7" w:rsidRDefault="00606EDB" w:rsidP="00C20EB0">
      <w:pPr>
        <w:spacing w:after="11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3.  Programos  paskirtis  – intensyvinti  korupcijos  prevenciją,  šalinti prielaidas korupcijai atsirasti ir plisti įstaigoje. </w:t>
      </w:r>
    </w:p>
    <w:p w:rsidR="00F616F6" w:rsidRPr="008F5DB7" w:rsidRDefault="00606EDB" w:rsidP="00C20EB0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4. Programos strateginės kryptys yra: </w:t>
      </w:r>
    </w:p>
    <w:p w:rsidR="00F616F6" w:rsidRPr="008F5DB7" w:rsidRDefault="00606EDB" w:rsidP="00C20EB0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4.1. korupcijos prevencija; </w:t>
      </w:r>
    </w:p>
    <w:p w:rsidR="00F616F6" w:rsidRPr="008F5DB7" w:rsidRDefault="00606EDB" w:rsidP="00C20EB0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4.2. antikorupcinis švietimas ir informavimas.</w:t>
      </w:r>
    </w:p>
    <w:p w:rsidR="00F616F6" w:rsidRPr="008F5DB7" w:rsidRDefault="00606EDB" w:rsidP="00C20EB0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5. Korupcijos prevencija įgyvendinama vadovaujantis šiais principais:</w:t>
      </w:r>
    </w:p>
    <w:p w:rsidR="00F616F6" w:rsidRPr="008F5DB7" w:rsidRDefault="00606EDB" w:rsidP="00C20EB0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5.1. teisėtumo – korupcijos prevencijos priemonės mokykloje įgyvendinamos laikantis</w:t>
      </w:r>
      <w:r w:rsidR="00C20EB0"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Konstitucijos,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 įstatymų ir  kitų  teisės  aktų  reikalavimų  ir  užtikrinant pagrindinių asmens teisių ir laisvių apsaugą; </w:t>
      </w:r>
    </w:p>
    <w:p w:rsidR="00C20EB0" w:rsidRPr="008F5DB7" w:rsidRDefault="00606EDB" w:rsidP="00C20EB0">
      <w:pPr>
        <w:spacing w:after="11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5.2. visuotinio privalumo – korupcijos prevencijos subjektais gali būti visi asmenys; </w:t>
      </w:r>
    </w:p>
    <w:p w:rsidR="00F616F6" w:rsidRPr="008F5DB7" w:rsidRDefault="00606EDB" w:rsidP="00C20EB0">
      <w:pPr>
        <w:spacing w:after="11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5.3.  sąveikos  – korupcijos  prevencijos  priemonių  veiksmingumas  užtikrinamas derinant  visų  korupcijos  prevencijos  subjektų  veiksmus,  keičiantis subjektams  reikalinga informacija ir teikiant vienas kitam reikiamą pagalbą; </w:t>
      </w:r>
    </w:p>
    <w:p w:rsidR="00F616F6" w:rsidRPr="008F5DB7" w:rsidRDefault="00C20EB0" w:rsidP="00C20EB0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5.4.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>pastov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umo  – korupcijos prevencijos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>priem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onių įgyvendinimo  rezultatus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>bei teikiant  pasiūlymus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  dėl  priemonių  veiksmingumo didinimo institucijai,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>kuri  pagal savo kompetenciją įgaliota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 įgyvendinti tokius pasiūlymus.</w:t>
      </w:r>
    </w:p>
    <w:p w:rsidR="00F616F6" w:rsidRPr="008F5DB7" w:rsidRDefault="00606EDB" w:rsidP="00C20EB0">
      <w:pPr>
        <w:spacing w:after="135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6. Programa parengta 3 metų laikotarpiui.</w:t>
      </w:r>
    </w:p>
    <w:p w:rsidR="00F616F6" w:rsidRPr="008F5DB7" w:rsidRDefault="00F616F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F616F6" w:rsidRPr="008F5DB7" w:rsidRDefault="00606EDB">
      <w:pPr>
        <w:spacing w:after="1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b/>
          <w:sz w:val="24"/>
          <w:szCs w:val="24"/>
          <w:lang w:val="lt-LT"/>
        </w:rPr>
        <w:t>II SKYRIUS</w:t>
      </w:r>
    </w:p>
    <w:p w:rsidR="00F616F6" w:rsidRPr="008F5DB7" w:rsidRDefault="00606EDB">
      <w:pPr>
        <w:spacing w:after="128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b/>
          <w:sz w:val="24"/>
          <w:szCs w:val="24"/>
          <w:lang w:val="lt-LT"/>
        </w:rPr>
        <w:t>PROGRAMOS TIKSLAI IR UŽDAVINIAI</w:t>
      </w:r>
    </w:p>
    <w:p w:rsidR="00F616F6" w:rsidRPr="008F5DB7" w:rsidRDefault="00F616F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F616F6" w:rsidRPr="008F5DB7" w:rsidRDefault="00606EDB" w:rsidP="00C20E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7. Programos tikslai:</w:t>
      </w:r>
    </w:p>
    <w:p w:rsidR="00F616F6" w:rsidRPr="008F5DB7" w:rsidRDefault="00606EDB" w:rsidP="00C20E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7.1. formuoti pilietinę antikorupcinę poziciją ir didinti teisinį sąmoningumą; </w:t>
      </w:r>
    </w:p>
    <w:p w:rsidR="00C20EB0" w:rsidRPr="008F5DB7" w:rsidRDefault="00606EDB" w:rsidP="00C20E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7.2. atskleisti priežastis ir sąlygas korupcijai pasireikšti mokykloje ir jas šalinti; </w:t>
      </w:r>
    </w:p>
    <w:p w:rsidR="00F616F6" w:rsidRPr="008F5DB7" w:rsidRDefault="00606EDB" w:rsidP="00C20E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7.3. užtikrinti skaidrią ir veiksmingą veiklą mokykloje. </w:t>
      </w:r>
    </w:p>
    <w:p w:rsidR="00F616F6" w:rsidRPr="008F5DB7" w:rsidRDefault="00606EDB" w:rsidP="00C20E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lastRenderedPageBreak/>
        <w:t>8. Programos uždaviniai:</w:t>
      </w:r>
    </w:p>
    <w:p w:rsidR="00F616F6" w:rsidRPr="008F5DB7" w:rsidRDefault="00606EDB" w:rsidP="00C20E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8.1. mažinti korupcijos pasireiškimo galimybių atsiradimą; </w:t>
      </w:r>
    </w:p>
    <w:p w:rsidR="00F616F6" w:rsidRPr="008F5DB7" w:rsidRDefault="00606EDB" w:rsidP="00C20E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8.2. siekti, kad visų sprendimų priėmimo procesai būtų skaidrūs, atviri ir prieinami mokyklos bendruomenei;</w:t>
      </w:r>
    </w:p>
    <w:p w:rsidR="00F616F6" w:rsidRPr="008F5DB7" w:rsidRDefault="00C20EB0" w:rsidP="00C20E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8.3.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didinti antikorupcinio  švietimo  sklaidą mokykloje,  supažindinti su  korupcijos reiškiniu: esme, priežastimis, pasekmėmis; </w:t>
      </w:r>
    </w:p>
    <w:p w:rsidR="00F616F6" w:rsidRPr="008F5DB7" w:rsidRDefault="00606EDB" w:rsidP="00C20E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8.4. skatinti nepakantumą korupcijos reiškiniams;</w:t>
      </w:r>
    </w:p>
    <w:p w:rsidR="00F616F6" w:rsidRPr="008F5DB7" w:rsidRDefault="00C20EB0" w:rsidP="00C20E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8.5.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ugdyti jaunų žmonių  antikorupcines nuostatas,  nepakančią korupcijos  augimui pilietinę poziciją; </w:t>
      </w:r>
    </w:p>
    <w:p w:rsidR="00F616F6" w:rsidRPr="008F5DB7" w:rsidRDefault="00C20EB0" w:rsidP="00C20E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8.6. ugdyti mokinių bendrąsias kompetencijas, vertybines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nuostatas (pagarba demokratijos vertybėms, neabejingumas viskam, kas vyksta šalia, sąžiningumas, atsakomybė už veiksmus ir poelgius); </w:t>
      </w:r>
    </w:p>
    <w:p w:rsidR="00F616F6" w:rsidRPr="008F5DB7" w:rsidRDefault="00606EDB" w:rsidP="00C20E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8.7.  sudaryti sąlygas  darbuotojams  dalyvauti mokymuose,  seminaruose korupcijos prevencijos klausimais. </w:t>
      </w:r>
    </w:p>
    <w:p w:rsidR="00F616F6" w:rsidRPr="008F5DB7" w:rsidRDefault="00F616F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F616F6" w:rsidRPr="008F5DB7" w:rsidRDefault="00606EDB">
      <w:pPr>
        <w:spacing w:after="11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b/>
          <w:sz w:val="24"/>
          <w:szCs w:val="24"/>
          <w:lang w:val="lt-LT"/>
        </w:rPr>
        <w:t>III SKYRIUS</w:t>
      </w:r>
    </w:p>
    <w:p w:rsidR="00F616F6" w:rsidRPr="008F5DB7" w:rsidRDefault="00606ED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b/>
          <w:sz w:val="24"/>
          <w:szCs w:val="24"/>
          <w:lang w:val="lt-LT"/>
        </w:rPr>
        <w:t>KORUPCIJOS PREVENCIJOS PRINCIPAI</w:t>
      </w:r>
    </w:p>
    <w:p w:rsidR="00F616F6" w:rsidRPr="008F5DB7" w:rsidRDefault="00F616F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F616F6" w:rsidRPr="008F5DB7" w:rsidRDefault="00606EDB" w:rsidP="00C20EB0">
      <w:pPr>
        <w:spacing w:after="10"/>
        <w:ind w:firstLine="709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9. Korupcijos prevencija įgyvendinama vadovaujantis šiais principais:</w:t>
      </w:r>
    </w:p>
    <w:p w:rsidR="00F616F6" w:rsidRPr="008F5DB7" w:rsidRDefault="00606EDB" w:rsidP="00C20EB0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9.1. teisėtumo – korupcijos prevencijos priemonės įgyvendinamos laikantis Lietuvos Respublikos Konstitucijos, įstatymų ir kitų teisės aktų reikalavimų; </w:t>
      </w:r>
    </w:p>
    <w:p w:rsidR="00C20EB0" w:rsidRPr="008F5DB7" w:rsidRDefault="00606EDB" w:rsidP="00C20E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9.2. visuotinio privalomumo – korupcijos prevencijos subjektais gali būti visi asmenys; </w:t>
      </w:r>
    </w:p>
    <w:p w:rsidR="00F616F6" w:rsidRPr="008F5DB7" w:rsidRDefault="00C20EB0" w:rsidP="00C20EB0">
      <w:pPr>
        <w:spacing w:after="135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9.3.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>sąveikos  – koru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pcijos prevencijos priemonių veiksmingumas užtikrinamas derinant visų korupcijos prevencijos subjektų veiksmus, keičiantis subjektams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reikalinga informacija ir teikiant vienas kitam kitokią pagalbą. </w:t>
      </w:r>
    </w:p>
    <w:p w:rsidR="00F616F6" w:rsidRPr="008F5DB7" w:rsidRDefault="00F616F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F616F6" w:rsidRPr="008F5DB7" w:rsidRDefault="00606EDB">
      <w:pPr>
        <w:spacing w:after="11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b/>
          <w:sz w:val="24"/>
          <w:szCs w:val="24"/>
          <w:lang w:val="lt-LT"/>
        </w:rPr>
        <w:t>IV SKYRIUS</w:t>
      </w:r>
    </w:p>
    <w:p w:rsidR="00F616F6" w:rsidRPr="008F5DB7" w:rsidRDefault="00606EDB">
      <w:pPr>
        <w:spacing w:after="173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b/>
          <w:sz w:val="24"/>
          <w:szCs w:val="24"/>
          <w:lang w:val="lt-LT"/>
        </w:rPr>
        <w:t>SIEKIAMI REZULTATAI IR VERTINIMO KRITERIJAI</w:t>
      </w:r>
    </w:p>
    <w:p w:rsidR="00F616F6" w:rsidRPr="008F5DB7" w:rsidRDefault="00F616F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F616F6" w:rsidRPr="008F5DB7" w:rsidRDefault="00606EDB" w:rsidP="00C20EB0">
      <w:pPr>
        <w:spacing w:after="10"/>
        <w:ind w:firstLine="709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10. Siekiami rezultatai: </w:t>
      </w:r>
    </w:p>
    <w:p w:rsidR="00F616F6" w:rsidRPr="008F5DB7" w:rsidRDefault="00606EDB" w:rsidP="00427BE8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10.1. didinti nepakantumą korupcijai;</w:t>
      </w:r>
    </w:p>
    <w:p w:rsidR="00F616F6" w:rsidRPr="008F5DB7" w:rsidRDefault="00606EDB" w:rsidP="00427BE8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10.2. gerinti korupcijos prev</w:t>
      </w:r>
      <w:r w:rsidR="00427BE8" w:rsidRPr="008F5DB7">
        <w:rPr>
          <w:rFonts w:ascii="Times New Roman" w:hAnsi="Times New Roman" w:cs="Times New Roman"/>
          <w:sz w:val="24"/>
          <w:szCs w:val="24"/>
          <w:lang w:val="lt-LT"/>
        </w:rPr>
        <w:t>encijos organizavimą mokykloje;</w:t>
      </w:r>
    </w:p>
    <w:p w:rsidR="00F616F6" w:rsidRPr="008F5DB7" w:rsidRDefault="00606EDB" w:rsidP="00427BE8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10.3. didinti visuomenės pasitikėjimą mokykla; </w:t>
      </w:r>
    </w:p>
    <w:p w:rsidR="00F616F6" w:rsidRPr="008F5DB7" w:rsidRDefault="00427BE8" w:rsidP="00427BE8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11.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>Program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os  rezultatyvumas  nustatomas vadovaujantis kiekybės ir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>kokybės</w:t>
      </w:r>
      <w:r w:rsidR="00C20EB0"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>rodikliais:</w:t>
      </w:r>
    </w:p>
    <w:p w:rsidR="00F616F6" w:rsidRPr="008F5DB7" w:rsidRDefault="00427BE8" w:rsidP="00427BE8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11.1. parengtų naujų ir atnaujintų korupcijos prevencijos programų ir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>įgyvendintų</w:t>
      </w:r>
      <w:r w:rsidR="00C20EB0"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rogramos priemonių skaičiaus pokytis; </w:t>
      </w:r>
    </w:p>
    <w:p w:rsidR="00F616F6" w:rsidRPr="008F5DB7" w:rsidRDefault="00606EDB" w:rsidP="00427BE8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11.2. įvykdytų programos įgyvendinimo plano priemonių skaičius;</w:t>
      </w:r>
    </w:p>
    <w:p w:rsidR="00F616F6" w:rsidRPr="008F5DB7" w:rsidRDefault="00606EDB" w:rsidP="00427BE8">
      <w:pPr>
        <w:spacing w:after="11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11.3. atliktų korupcijos pasireiškimo tikimybės vertinimų skaičius;</w:t>
      </w:r>
    </w:p>
    <w:p w:rsidR="00427BE8" w:rsidRPr="008F5DB7" w:rsidRDefault="00427BE8" w:rsidP="00427BE8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11.4. asmenų,  pranešusių apie korupcijos pobūdžio teisės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>pažeidimus, skaičiaus pokytis;</w:t>
      </w:r>
    </w:p>
    <w:p w:rsidR="00F616F6" w:rsidRPr="008F5DB7" w:rsidRDefault="00427BE8" w:rsidP="00427BE8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>.5. oficialių pranešimų apie įtariamus pažeidimus ir ištirtų pažeidimų santykis;</w:t>
      </w:r>
    </w:p>
    <w:p w:rsidR="00F616F6" w:rsidRPr="008F5DB7" w:rsidRDefault="00606EDB" w:rsidP="00427BE8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11.</w:t>
      </w:r>
      <w:r w:rsidR="00427BE8" w:rsidRPr="008F5DB7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>. organizuotų seminarų, mokymų ir dalyvavusių juose asmenų skaičius.</w:t>
      </w:r>
    </w:p>
    <w:p w:rsidR="00F616F6" w:rsidRPr="008F5DB7" w:rsidRDefault="00427BE8" w:rsidP="00427BE8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12. Kiekviena Programos įgyvendinimo priemonių plano priemonė vertinama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>pagal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Programos priemonių plane nustatytus vertinimo kriterijus. </w:t>
      </w:r>
    </w:p>
    <w:p w:rsidR="00F616F6" w:rsidRPr="008F5DB7" w:rsidRDefault="00F616F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F616F6" w:rsidRPr="008F5DB7" w:rsidRDefault="00606EDB">
      <w:pPr>
        <w:spacing w:after="1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b/>
          <w:sz w:val="24"/>
          <w:szCs w:val="24"/>
          <w:lang w:val="lt-LT"/>
        </w:rPr>
        <w:t>V SKYRIUS</w:t>
      </w:r>
    </w:p>
    <w:p w:rsidR="00F616F6" w:rsidRPr="008F5DB7" w:rsidRDefault="00606ED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b/>
          <w:sz w:val="24"/>
          <w:szCs w:val="24"/>
          <w:lang w:val="lt-LT"/>
        </w:rPr>
        <w:t>PROGRAMOS ADMINISTRAVIMAS</w:t>
      </w:r>
    </w:p>
    <w:p w:rsidR="00F616F6" w:rsidRPr="008F5DB7" w:rsidRDefault="00F616F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F616F6" w:rsidRPr="008F5DB7" w:rsidRDefault="00606EDB" w:rsidP="00427BE8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13. Programai įgyvendinti sudaromas Programos įgyvendinimo priemonių planas (priedas), kurio priemonių įvykdymo laikotarpis sutampa su programos įgyvendinimo pradžia ir pabaiga. </w:t>
      </w:r>
    </w:p>
    <w:p w:rsidR="00F616F6" w:rsidRPr="008F5DB7" w:rsidRDefault="00427BE8" w:rsidP="00427BE8">
      <w:pPr>
        <w:spacing w:after="1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14. </w:t>
      </w:r>
      <w:r w:rsidR="004A0B48"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Už konkrečių Programos priemonių įgyvendinimą pagal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>kompetenciją atsako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priemonių plane nurodyti vykdytojai. </w:t>
      </w:r>
    </w:p>
    <w:p w:rsidR="004A0B48" w:rsidRPr="008F5DB7" w:rsidRDefault="00427BE8" w:rsidP="00427B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15. </w:t>
      </w:r>
      <w:r w:rsidR="004A0B48"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Už Programos priemonių plano įgyvendinimo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kontrolę atsakingas mokyklos direktoriaus paskirtas asmuo už korupcijos prevenciją. </w:t>
      </w:r>
    </w:p>
    <w:p w:rsidR="00F616F6" w:rsidRPr="008F5DB7" w:rsidRDefault="00606EDB" w:rsidP="00427B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4A0B48" w:rsidRPr="008F5DB7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. Mokyklos prevencijos programą tvirtina mokyklos direktorius. </w:t>
      </w:r>
    </w:p>
    <w:p w:rsidR="00F616F6" w:rsidRPr="008F5DB7" w:rsidRDefault="00F616F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F616F6" w:rsidRPr="008F5DB7" w:rsidRDefault="00606EDB">
      <w:pPr>
        <w:spacing w:after="1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b/>
          <w:sz w:val="24"/>
          <w:szCs w:val="24"/>
          <w:lang w:val="lt-LT"/>
        </w:rPr>
        <w:t>VI SKYRIUS</w:t>
      </w:r>
    </w:p>
    <w:p w:rsidR="00F616F6" w:rsidRPr="008F5DB7" w:rsidRDefault="00606EDB">
      <w:pPr>
        <w:spacing w:after="243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b/>
          <w:sz w:val="24"/>
          <w:szCs w:val="24"/>
          <w:lang w:val="lt-LT"/>
        </w:rPr>
        <w:t>BAIGIAMOSIOS NUOSTATOS</w:t>
      </w:r>
    </w:p>
    <w:p w:rsidR="00F616F6" w:rsidRPr="008F5DB7" w:rsidRDefault="00F616F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F616F6" w:rsidRPr="008F5DB7" w:rsidRDefault="00606EDB" w:rsidP="004A0B48">
      <w:pPr>
        <w:spacing w:after="1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4A0B48" w:rsidRPr="008F5DB7">
        <w:rPr>
          <w:rFonts w:ascii="Times New Roman" w:hAnsi="Times New Roman" w:cs="Times New Roman"/>
          <w:sz w:val="24"/>
          <w:szCs w:val="24"/>
          <w:lang w:val="lt-LT"/>
        </w:rPr>
        <w:t>7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. Ši programa įsigalioja nuo 2022 m. sausio 1 d. </w:t>
      </w:r>
    </w:p>
    <w:p w:rsidR="00F616F6" w:rsidRPr="008F5DB7" w:rsidRDefault="00606EDB" w:rsidP="004A0B48">
      <w:pPr>
        <w:spacing w:after="11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4A0B48" w:rsidRPr="008F5DB7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. Programa įgyvendinama pagal Programos įgyvendinimo priemonių planą. </w:t>
      </w:r>
    </w:p>
    <w:p w:rsidR="00F616F6" w:rsidRPr="008F5DB7" w:rsidRDefault="00606EDB" w:rsidP="004A0B48">
      <w:pPr>
        <w:spacing w:after="1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4A0B48"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9. Už Programos įgyvendinimą atsakingi Programos priemonių 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>plane nurodyti</w:t>
      </w:r>
      <w:r w:rsidR="004A0B48"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F5DB7">
        <w:rPr>
          <w:rFonts w:ascii="Times New Roman" w:hAnsi="Times New Roman" w:cs="Times New Roman"/>
          <w:sz w:val="24"/>
          <w:szCs w:val="24"/>
          <w:lang w:val="lt-LT"/>
        </w:rPr>
        <w:t>vykd</w:t>
      </w:r>
      <w:r w:rsidR="004A0B48" w:rsidRPr="008F5DB7">
        <w:rPr>
          <w:rFonts w:ascii="Times New Roman" w:hAnsi="Times New Roman" w:cs="Times New Roman"/>
          <w:sz w:val="24"/>
          <w:szCs w:val="24"/>
          <w:lang w:val="lt-LT"/>
        </w:rPr>
        <w:t>ytojai.</w:t>
      </w:r>
    </w:p>
    <w:p w:rsidR="00F616F6" w:rsidRPr="008F5DB7" w:rsidRDefault="004A0B48" w:rsidP="004A0B48">
      <w:pPr>
        <w:spacing w:after="0"/>
        <w:ind w:firstLine="851"/>
        <w:jc w:val="both"/>
        <w:rPr>
          <w:rFonts w:ascii="Times New Roman" w:hAnsi="Times New Roman" w:cs="Times New Roman"/>
          <w:color w:val="0000CC"/>
          <w:sz w:val="24"/>
          <w:szCs w:val="24"/>
          <w:u w:val="single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20. </w:t>
      </w:r>
      <w:r w:rsidR="00606EDB" w:rsidRPr="008F5DB7">
        <w:rPr>
          <w:rFonts w:ascii="Times New Roman" w:hAnsi="Times New Roman" w:cs="Times New Roman"/>
          <w:sz w:val="24"/>
          <w:szCs w:val="24"/>
          <w:lang w:val="lt-LT"/>
        </w:rPr>
        <w:t xml:space="preserve">Programa skelbiama mokyklos interneto svetainėje </w:t>
      </w:r>
      <w:hyperlink r:id="rId6" w:history="1">
        <w:r w:rsidRPr="008F5DB7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www.grigiskiumokykla.lt</w:t>
        </w:r>
      </w:hyperlink>
      <w:r w:rsidRPr="008F5DB7">
        <w:rPr>
          <w:rFonts w:ascii="Times New Roman" w:hAnsi="Times New Roman" w:cs="Times New Roman"/>
          <w:color w:val="0000CC"/>
          <w:sz w:val="24"/>
          <w:szCs w:val="24"/>
          <w:u w:val="single"/>
          <w:lang w:val="lt-LT"/>
        </w:rPr>
        <w:t xml:space="preserve">  </w:t>
      </w:r>
    </w:p>
    <w:p w:rsidR="00F616F6" w:rsidRPr="008F5DB7" w:rsidRDefault="00F616F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4A0B48" w:rsidRPr="008F5DB7" w:rsidRDefault="004A0B48">
      <w:pPr>
        <w:spacing w:after="11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b/>
          <w:sz w:val="24"/>
          <w:szCs w:val="24"/>
          <w:lang w:val="lt-LT"/>
        </w:rPr>
        <w:br w:type="page"/>
      </w:r>
    </w:p>
    <w:p w:rsidR="00F616F6" w:rsidRPr="008F5DB7" w:rsidRDefault="00606EDB">
      <w:pPr>
        <w:spacing w:after="111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b/>
          <w:sz w:val="24"/>
          <w:szCs w:val="24"/>
          <w:lang w:val="lt-LT"/>
        </w:rPr>
        <w:t>PROGRAMOS ĮGYVENDINIMO PRIEMONIŲ PLANAS</w:t>
      </w:r>
    </w:p>
    <w:p w:rsidR="00F616F6" w:rsidRPr="008F5DB7" w:rsidRDefault="00F616F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3108"/>
        <w:gridCol w:w="2054"/>
        <w:gridCol w:w="1806"/>
        <w:gridCol w:w="2221"/>
      </w:tblGrid>
      <w:tr w:rsidR="00F616F6" w:rsidRPr="00172AF7"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1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:rsidR="00F616F6" w:rsidRPr="00172AF7" w:rsidRDefault="00606ED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Priemonės apvadinimas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Vykdytojai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Vykdymo laikas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Laukiami rezultatai</w:t>
            </w:r>
          </w:p>
        </w:tc>
      </w:tr>
      <w:tr w:rsidR="00F616F6" w:rsidRPr="00172AF7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F616F6" w:rsidRPr="0088028A"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susitikimus su darbuotojais, vykdančiais korupcijos prevenciją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Atsakingas už korupcijos prevenciją ir kontrolę mokykloje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Darbuotojai ir mokiniai įgis daugiau žinių apie korupcijos žalą valstybei ir visuomenei</w:t>
            </w:r>
          </w:p>
        </w:tc>
      </w:tr>
      <w:tr w:rsidR="00F616F6" w:rsidRPr="0088028A"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Sudaryti sąlygas darbuotojams dalyvauti mokymuose ir seminaruose korupcijos prevencijos ir kontrolės, antikorupcinio ugdymo programos integravimo į mokomuosius dalykus ir klasės valandėles klausimais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8F5DB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="00606EDB"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rekt</w:t>
            </w:r>
            <w:r w:rsid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oriaus pavaduotoja</w:t>
            </w: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ugdymui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Pagerės žinių kokybė apie korupcijos prevenciją</w:t>
            </w:r>
          </w:p>
        </w:tc>
      </w:tr>
      <w:tr w:rsidR="00F616F6" w:rsidRPr="00172AF7"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 w:rsidP="008F5DB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Antikorupcinio švietimo temas integruoti į pilietinio ugdymo, istorijos, etikos mokomuosius dalykus ir klasių vadovų veiklą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Pedagogai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Kiekvienais metais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Ugdomos antikorupcinės nuostatos</w:t>
            </w:r>
          </w:p>
        </w:tc>
      </w:tr>
      <w:tr w:rsidR="00F616F6" w:rsidRPr="0088028A"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Tirti skundus, pranešimus ar kitais būdais gautą informaciją dėl galimų korupcinio pobūdžio veikų ir imtis priemonių pažeidimams pašalinti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Atsakingas už korupcijos prevenciją ir kontrolę mokykloje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Susiformuos antikorupcinės nuostatos, nepakanti korupcijos augimui pilietinė pozicija</w:t>
            </w:r>
          </w:p>
        </w:tc>
      </w:tr>
      <w:tr w:rsidR="00F616F6" w:rsidRPr="0088028A"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1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Peržiūrėti darbuotojų pareigybių aprašymus ir esant būtinybei įtraukti antikorupciniu požiūriu svarbias nuostatas bei teisinės atsakomybės priemones. </w:t>
            </w:r>
          </w:p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Sistemingai atnaujinti galiojančias taisykles ir tvarkas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5A7FB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Kiekvienais metais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Apibrėžtos antikorupcinės nuostatos bei teisinės atsakomybės priemonės darbuotojų pareigybėse</w:t>
            </w:r>
          </w:p>
        </w:tc>
      </w:tr>
      <w:tr w:rsidR="00F616F6" w:rsidRPr="0088028A"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Mokyklos bendruomenės informavimas apie mokyklos ugdomąją, finansinę ir ūkinę veiklą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5A7FB6" w:rsidP="005A7FB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Kiekvienais metais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Informuojami mokyklos bendruomenės nariai apie mokyklos veiklą</w:t>
            </w:r>
          </w:p>
        </w:tc>
      </w:tr>
      <w:tr w:rsidR="00F616F6" w:rsidRPr="00172AF7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1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Esant </w:t>
            </w:r>
            <w:r w:rsid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pasiūlymams ir kitai </w:t>
            </w: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būtinybei papildyti</w:t>
            </w:r>
          </w:p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Mokyklos korupcijos prevencijos programą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Atsakingas už korupcijos prevenciją ir kontrolę mokykloje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Kiekvienais metais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6" w:rsidRPr="00172AF7" w:rsidRDefault="00606ED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Veiksminga korupcijos prevencijos programa</w:t>
            </w:r>
          </w:p>
        </w:tc>
      </w:tr>
      <w:tr w:rsidR="008F5DB7" w:rsidRPr="0088028A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B7" w:rsidRPr="00172AF7" w:rsidRDefault="008F5D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B7" w:rsidRPr="00172AF7" w:rsidRDefault="008F5DB7">
            <w:pPr>
              <w:spacing w:after="1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Teisės aktų nustatyta tvarka interneto svetainėje skelbti informaciją apie numatomus, vykdomus viešuosius pirkimus ir jų rezultatus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B7" w:rsidRPr="00172AF7" w:rsidRDefault="008F5D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Viešųjų pirkimų komisija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B7" w:rsidRPr="00172AF7" w:rsidRDefault="008F5D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B7" w:rsidRPr="00172AF7" w:rsidRDefault="008F5D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Užtikrintas viešųjų pirkimų skaidrumas; visuomenė informuota apie planuojamus ir įvykdytus pirkimus</w:t>
            </w:r>
          </w:p>
        </w:tc>
      </w:tr>
      <w:tr w:rsidR="008F5DB7" w:rsidRPr="00172AF7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B7" w:rsidRPr="00172AF7" w:rsidRDefault="008F5D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B7" w:rsidRPr="00172AF7" w:rsidRDefault="008F5DB7">
            <w:pPr>
              <w:spacing w:after="1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Užtikrinti skaidrų darbuotojų darbo krūvių paskirstymą.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B7" w:rsidRPr="00172AF7" w:rsidRDefault="005A7F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B7" w:rsidRPr="00172AF7" w:rsidRDefault="008F5D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Kasmet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B7" w:rsidRPr="00172AF7" w:rsidRDefault="008F5D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Skaidrus pamokų paskirstymas</w:t>
            </w:r>
          </w:p>
        </w:tc>
      </w:tr>
      <w:tr w:rsidR="00E41682" w:rsidRPr="0088028A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82" w:rsidRPr="00172AF7" w:rsidRDefault="00E416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82" w:rsidRPr="005A7FB6" w:rsidRDefault="00E41682" w:rsidP="005A7FB6">
            <w:pPr>
              <w:spacing w:after="1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Mokyklos direktoriaus metinę veiklos ataskaitą teikti mokytojų tarybai, </w:t>
            </w:r>
            <w:r w:rsid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gimnazijos</w:t>
            </w:r>
            <w:r w:rsidRP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tarybai ir </w:t>
            </w:r>
            <w:r w:rsid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miesto</w:t>
            </w:r>
            <w:r w:rsidRP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savivaldybės Merui, skelbti </w:t>
            </w:r>
            <w:r w:rsid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Gimnazijos</w:t>
            </w:r>
            <w:r w:rsidRP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internetiniame tinklalapyje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82" w:rsidRPr="005A7FB6" w:rsidRDefault="005A7F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82" w:rsidRPr="005A7FB6" w:rsidRDefault="005A7F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Kasmet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82" w:rsidRPr="005A7FB6" w:rsidRDefault="005A7F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Vykdomas mokyklos bendruomenės narių, mokyklos steigėjo informavimas apie mokyklos ugdomąją, finansinę ir ūkinę veiklą</w:t>
            </w:r>
          </w:p>
        </w:tc>
      </w:tr>
      <w:tr w:rsidR="005A7FB6" w:rsidRPr="0088028A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B6" w:rsidRDefault="005A7F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B6" w:rsidRPr="005A7FB6" w:rsidRDefault="005A7FB6" w:rsidP="005A7FB6">
            <w:pPr>
              <w:spacing w:after="1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Elektroninį dienyną ir Mokyklos internetinę svetainę naudoti kaip informacijos teikimo ir viešumo įrankius mokiniams, mokytojams ir tėvams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B6" w:rsidRPr="005A7FB6" w:rsidRDefault="005A7F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Direktorė</w:t>
            </w:r>
            <w:r w:rsidRP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direktoriaus pavaduotoja ugdymui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B6" w:rsidRPr="005A7FB6" w:rsidRDefault="005A7F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B6" w:rsidRPr="005A7FB6" w:rsidRDefault="005A7F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Sudaromos galimybės kiekvienam bendruomenės nariui gauti informaciją</w:t>
            </w:r>
          </w:p>
        </w:tc>
      </w:tr>
      <w:tr w:rsidR="005A7FB6" w:rsidRPr="00172AF7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B6" w:rsidRDefault="005A7F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B6" w:rsidRPr="005A7FB6" w:rsidRDefault="005A7FB6" w:rsidP="005A7FB6">
            <w:pPr>
              <w:spacing w:after="1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1,2% gyventojų pajamų mokesčio panaudojimas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B6" w:rsidRPr="005A7FB6" w:rsidRDefault="005A7FB6" w:rsidP="005A7F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Asmenys, atsakingi už korupcijos prevencijos programos įgyvendinimo organizavimą ir kontrolės vykdymą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B6" w:rsidRPr="005A7FB6" w:rsidRDefault="005A7F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Metų pabaigoje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B6" w:rsidRPr="005A7FB6" w:rsidRDefault="005A7F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Tikslingai panaudojamos paramos lėšos</w:t>
            </w:r>
          </w:p>
        </w:tc>
      </w:tr>
      <w:tr w:rsidR="008F5DB7" w:rsidRPr="0088028A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B7" w:rsidRPr="00172AF7" w:rsidRDefault="008F5DB7" w:rsidP="005A7F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5A7F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B7" w:rsidRPr="00172AF7" w:rsidRDefault="008F5DB7">
            <w:pPr>
              <w:spacing w:after="1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Mokyklos internetiniame puslapyje skelbti informaciją apie laisvas darbo vietas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B7" w:rsidRPr="00172AF7" w:rsidRDefault="008F5D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Direktoriaus pavaduotoja ugdymui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B7" w:rsidRPr="00172AF7" w:rsidRDefault="008F5D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B7" w:rsidRPr="00172AF7" w:rsidRDefault="008F5D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2A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Užtikrinamas viešumas. Teikiama informacija apie laisvas darbo vietas įstaigoje, viešinami reikalavimai pretendentams, priėmimo sąlygos.</w:t>
            </w:r>
          </w:p>
        </w:tc>
      </w:tr>
    </w:tbl>
    <w:p w:rsidR="00F616F6" w:rsidRPr="008F5DB7" w:rsidRDefault="00F616F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F616F6" w:rsidRPr="008F5DB7" w:rsidRDefault="00606ED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8F5DB7">
        <w:rPr>
          <w:rFonts w:ascii="Times New Roman" w:hAnsi="Times New Roman" w:cs="Times New Roman"/>
          <w:sz w:val="24"/>
          <w:szCs w:val="24"/>
          <w:lang w:val="lt-LT"/>
        </w:rPr>
        <w:t>Parengė antikorupcinės grupės pirmininkė Ala Vakar</w:t>
      </w:r>
    </w:p>
    <w:sectPr w:rsidR="00F616F6" w:rsidRPr="008F5DB7">
      <w:pgSz w:w="11918" w:h="16826"/>
      <w:pgMar w:top="712" w:right="505" w:bottom="1020" w:left="170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A662E"/>
    <w:multiLevelType w:val="multilevel"/>
    <w:tmpl w:val="99FE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9C"/>
    <w:rsid w:val="00172AF7"/>
    <w:rsid w:val="001B6128"/>
    <w:rsid w:val="001E4CB6"/>
    <w:rsid w:val="00360B3D"/>
    <w:rsid w:val="00365C9C"/>
    <w:rsid w:val="00427BE8"/>
    <w:rsid w:val="00456C38"/>
    <w:rsid w:val="004A0B48"/>
    <w:rsid w:val="00524B75"/>
    <w:rsid w:val="005A7FB6"/>
    <w:rsid w:val="00606EDB"/>
    <w:rsid w:val="0088028A"/>
    <w:rsid w:val="008F5DB7"/>
    <w:rsid w:val="00C20EB0"/>
    <w:rsid w:val="00C3298D"/>
    <w:rsid w:val="00E41682"/>
    <w:rsid w:val="00E6709C"/>
    <w:rsid w:val="00F04C98"/>
    <w:rsid w:val="00F616F6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47A3"/>
    <w:pPr>
      <w:spacing w:before="25" w:after="25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212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0B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0B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47A3"/>
    <w:pPr>
      <w:spacing w:before="25" w:after="25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212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0B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0B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igiskiumokykl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5819</Words>
  <Characters>3318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Worksheets</vt:lpstr>
      </vt:variant>
      <vt:variant>
        <vt:i4>1</vt:i4>
      </vt:variant>
    </vt:vector>
  </HeadingPairs>
  <TitlesOfParts>
    <vt:vector size="2" baseType="lpstr">
      <vt:lpstr/>
      <vt:lpstr>Sheet1</vt:lpstr>
    </vt:vector>
  </TitlesOfParts>
  <Company/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Aspose.PDF</dc:creator>
  <cp:lastModifiedBy>Windows User</cp:lastModifiedBy>
  <cp:revision>8</cp:revision>
  <dcterms:created xsi:type="dcterms:W3CDTF">2022-02-13T13:23:00Z</dcterms:created>
  <dcterms:modified xsi:type="dcterms:W3CDTF">2022-02-14T09:36:00Z</dcterms:modified>
</cp:coreProperties>
</file>